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11" w:rsidRPr="006A1811" w:rsidRDefault="006A1811" w:rsidP="006A18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1811" w:rsidRPr="006A1811" w:rsidRDefault="006A1811" w:rsidP="006A181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Регламент</w:t>
      </w:r>
    </w:p>
    <w:p w:rsidR="006A1811" w:rsidRPr="006A1811" w:rsidRDefault="006A1811" w:rsidP="006A181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грантовой поддержки для поступающих на дополнительную профессиональную программу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повышения квалификации</w:t>
      </w:r>
    </w:p>
    <w:p w:rsidR="006A1811" w:rsidRPr="006A1811" w:rsidRDefault="006A1811" w:rsidP="006A181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«молодой закупщик» набора 2025 года</w:t>
      </w:r>
    </w:p>
    <w:p w:rsidR="006A1811" w:rsidRPr="006A1811" w:rsidRDefault="006A1811" w:rsidP="006A181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widowControl w:val="0"/>
        <w:numPr>
          <w:ilvl w:val="0"/>
          <w:numId w:val="1"/>
        </w:numPr>
        <w:spacing w:after="0" w:line="276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ОБЩИЕ ПОЛОЖЕНИЯ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1.1. Настоящий регламент </w:t>
      </w:r>
      <w:r w:rsidRPr="006A1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грантовой поддержки для поступающих на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дополнительную профессиональную программу повышения квалификации «молодой закупщик» набора 2025 года (далее соответственно – Регламент, грантовая поддержка, Программа) определяет порядок действий, правила и процедуры в организации конкурсного отбора.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Программу реализует институт «Высшая школа государственного управления» (далее – Институт).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Ответственное подразделение: центр развития конкурентной политики и государственного заказа (далее – Центр).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1.3. Программа и грантовая поддержка проводится при поддержке АО «Сбербанк-АСТ».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1.4.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Программа направлена на получение новой компетенции, необходимой для профессиональной деятельности в области государственных и муниципальных закупок, способной помочь эффективно применять законодательство и современные технологии для обеспечения прозрачности, экономической целесообразности и высокого качества закупаемых товаров, работ и услуг.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1.5. Программа направлена на обучение специалистов в области государственных и муниципальных закупок согласно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44-ФЗ).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Основной целевой аудиторией слушателей являются студенты выпускных курсов высших учебных заведений гуманитарных направлений (юриспруденция, экономика, государственное и муниципальное управление и т.д.), а также специалисты и работники организаций, не имеющие практического опыта в сфере закупок по Закону 44-ФЗ.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1.6.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Грантовая поддержка предоставляется лицам, успешно прошедшим конкурсный отбор (далее – Участники) по Программе.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1.5.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Грантовая поддержка оказывается в соответствии с процедурой получения, описанной в настоящем Регламенте, требованиях к поступающим и порядку отбора на Программу (далее – Требования), согласно Приложению к Регламенту.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1.6. Внесение изменений в настоящий Регламент и Требования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lastRenderedPageBreak/>
        <w:t>осуществляется приказом проректора по решению Института.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1.7.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На Программу набора 2025 года выделяются 10 (десять) мест со 100 (сто) % компенсацией стоимости обучения.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1.8.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Места распределяются в соответствии с рейтингом Участников конкурсного отбора по мере его убывания.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widowControl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2. ПРОЦЕДУРА ПОЛУЧЕНИЯ ГРАНТОВОЙ ПОДДЕРЖКИ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2.1.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Вся информация о конкурсном отборе на получение грантовой поддержки для обучения на Программе размещается в открытом доступе на сайте </w:t>
      </w:r>
      <w:hyperlink r:id="rId7" w:history="1"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https</w:t>
        </w:r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://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goszakaz</w:t>
        </w:r>
        <w:proofErr w:type="spellEnd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.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ranepa</w:t>
        </w:r>
        <w:proofErr w:type="spellEnd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.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ru</w:t>
        </w:r>
        <w:proofErr w:type="spellEnd"/>
      </w:hyperlink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.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2.2.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Конкурсный отбор на получение грантовой поддержки для обучения на Программе начинается в день публикации настоящего Регламента на сайте </w:t>
      </w:r>
      <w:hyperlink r:id="rId8" w:history="1"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https</w:t>
        </w:r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://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goszakaz</w:t>
        </w:r>
        <w:proofErr w:type="spellEnd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.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ranepa</w:t>
        </w:r>
        <w:proofErr w:type="spellEnd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.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ru</w:t>
        </w:r>
        <w:proofErr w:type="spellEnd"/>
      </w:hyperlink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.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2.3.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К участию в конкурсном отборе на предоставление грантовой поддержки допускаются лица, соответствующие требованиям, приведенным в Приложении к Регламенту.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2.4.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Конкурсный отбор на получение грантовой поддержки осуществляется на основании конкурсной заявки.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2.5.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Оценка конкурсной заявки осуществляется конкурсной комиссией. Результаты оценки доводятся до сведения лиц, поступающих на Программу, по электронной почте в срок не позднее 5 (пяти) рабочих дней с даты окончания срока приема конкурсных заявок.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2.6.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Рейтинг Участников для получения грантовой поддержки формируется на основании баллов, полученных за конкурсные заявки.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2.7.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Грантовую поддержку получают Участники, набравшие наибольшее количество баллов по итогам оценки конкурсных заявок.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2.8.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С Участниками, получившим грантовую поддержку, заключается договор об образовании (далее – договор).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Отказ от заключения договора лишает Участника права на грантовую поддержку.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2.9.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Договор может быть расторгнут в процессе обучения.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2.10.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Любая информация о грантовой поддержке и конкурсном отборе, отправленная лицам, поступающим на Программу, посредством электронной почты, считается полученной с даты ее отправления. Лица, поступающие на Программу, обязуются своевременно предоставлять информацию о своей актуальной электронной почте, а в случае создания общей электронной почты группы обязуются использовать и её.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Фактом предоставления информации о грантовой поддержке считается рассылка на электронную почту Участников или на общую электронную почту группы (при её наличии).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widowControl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lastRenderedPageBreak/>
        <w:t>3. УСЛОВИЯ ОСВОБОЖДЕНИЯ МЕСТ ГРАНТОВОЙ ПОДДЕРЖКИ</w:t>
      </w:r>
    </w:p>
    <w:p w:rsidR="006A1811" w:rsidRPr="006A1811" w:rsidRDefault="006A1811" w:rsidP="006A1811">
      <w:pPr>
        <w:widowControl w:val="0"/>
        <w:tabs>
          <w:tab w:val="center" w:pos="861"/>
          <w:tab w:val="center" w:pos="368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Calibri" w:eastAsia="Calibri" w:hAnsi="Calibri" w:cs="Calibri"/>
          <w:color w:val="000000"/>
          <w:sz w:val="28"/>
          <w:szCs w:val="28"/>
          <w14:ligatures w14:val="standardContextual"/>
        </w:rPr>
        <w:tab/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3.1.</w:t>
      </w:r>
      <w:r w:rsidRPr="006A1811">
        <w:rPr>
          <w:rFonts w:ascii="Arial" w:eastAsia="Arial" w:hAnsi="Arial" w:cs="Arial"/>
          <w:color w:val="000000"/>
          <w:sz w:val="28"/>
          <w:szCs w:val="28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Места грантовой поддержки освобождаются в случаях:</w:t>
      </w:r>
    </w:p>
    <w:p w:rsidR="006A1811" w:rsidRPr="006A1811" w:rsidRDefault="006A1811" w:rsidP="006A1811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3.1.1. Если Участник пропустил более одного дня занятий.</w:t>
      </w:r>
    </w:p>
    <w:p w:rsidR="006A1811" w:rsidRPr="006A1811" w:rsidRDefault="006A1811" w:rsidP="006A1811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3.1.2. Если Участник не прошел итоговую аттестацию.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3.2. Решение о прекращении грантовой поддержки оформляется приказом Института, доводится до Участника посредством информационно-телекоммуникационных сетей и считается полученным со дня отправки письма.  </w:t>
      </w: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  <w:br w:type="page"/>
      </w:r>
    </w:p>
    <w:p w:rsidR="006A1811" w:rsidRPr="006A1811" w:rsidRDefault="006A1811" w:rsidP="006A18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</w:pPr>
    </w:p>
    <w:p w:rsidR="006A1811" w:rsidRPr="006A1811" w:rsidRDefault="006A1811" w:rsidP="006A18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  <w:tab/>
        <w:t xml:space="preserve">  </w:t>
      </w: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  <w:tab/>
      </w:r>
      <w:r w:rsidRPr="006A1811"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  <w:t>Приложение</w:t>
      </w:r>
    </w:p>
    <w:p w:rsidR="006A1811" w:rsidRPr="006A1811" w:rsidRDefault="006A1811" w:rsidP="006A1811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  <w:t xml:space="preserve">к Регламенту </w:t>
      </w:r>
      <w:r w:rsidRPr="006A18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грантовой поддержки для поступающих на </w:t>
      </w:r>
      <w:r w:rsidRPr="006A1811"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  <w:t>дополнительную профессиональную программу повышения квалификации «молодой закупщик» набора 2025 года</w:t>
      </w:r>
    </w:p>
    <w:p w:rsidR="006A1811" w:rsidRPr="006A1811" w:rsidRDefault="006A1811" w:rsidP="006A181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Требования</w:t>
      </w:r>
    </w:p>
    <w:p w:rsidR="006A1811" w:rsidRPr="006A1811" w:rsidRDefault="006A1811" w:rsidP="006A181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к поступающим и порядок отбора на дополнительную профессиональную программу повышения квалификации «молодой закупщик» набора 2025 года</w:t>
      </w:r>
    </w:p>
    <w:p w:rsidR="006A1811" w:rsidRPr="006A1811" w:rsidRDefault="006A1811" w:rsidP="006A1811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numPr>
          <w:ilvl w:val="0"/>
          <w:numId w:val="2"/>
        </w:num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14:ligatures w14:val="standardContextual"/>
        </w:rPr>
        <w:t>Общие положения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Cs/>
          <w:color w:val="000000"/>
          <w:sz w:val="28"/>
          <w:szCs w:val="28"/>
          <w14:ligatures w14:val="standardContextual"/>
        </w:rPr>
        <w:t xml:space="preserve">1.1. Настоящие требования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к поступающим и порядок отбора на дополнительную профессиональную программу повышения квалификации «Молодой закупщик» набора 2025 года (далее – Требования) определяют совокупность условий и характеристик, которым должен соответствовать процесс отбора.</w:t>
      </w:r>
    </w:p>
    <w:p w:rsidR="006A1811" w:rsidRPr="006A1811" w:rsidRDefault="006A1811" w:rsidP="006A1811">
      <w:pPr>
        <w:spacing w:after="0" w:line="276" w:lineRule="auto"/>
        <w:ind w:left="709"/>
        <w:rPr>
          <w:rFonts w:ascii="Times New Roman" w:eastAsia="Times New Roman" w:hAnsi="Times New Roman" w:cs="Times New Roman"/>
          <w:bCs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14:ligatures w14:val="standardContextual"/>
        </w:rPr>
        <w:t>2. Требования к образовательному уровню, квалификации и стажу профессиональной деятельности участников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2.1. К лицам, заинтересованным в поступлении на дополнительную профессиональную программу повышения квалификации «Молодой закупщик» набора 2025 года (далее соответственно – Участники, Программа), предъявляются следующие требования: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2.1.1. Наличие высшего образования (бакалавриат, специалитет, магистратура) или средне профессионального образования, признаваемого в Российской Федерации, подтвержденного документом о высшем или среднем профессиональном образовании и о квалификации, либо справка о прохождении такого обучения.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2.1.2. Наличие опыта работы - не предъявляется.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3. Отбор участников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3.1. Отбор лиц, поступающих на Программу, производится на основании конкурсной заявки.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3.2. Для участия в конкурсе на получение грантового места в рамках открытого набора в срок до 27.07.2025 23:59:59 (по </w:t>
      </w:r>
      <w:proofErr w:type="spellStart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Мск</w:t>
      </w:r>
      <w:proofErr w:type="spellEnd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.) лица, поступающие на Программу, должны заполнить заявку.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Заявка заполняется в электронном виде и направляется на адрес электронной почты: </w:t>
      </w:r>
      <w:hyperlink r:id="rId9" w:history="1"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goszakaz</w:t>
        </w:r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@</w:t>
        </w:r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ranepa</w:t>
        </w:r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14:ligatures w14:val="standardContextual"/>
          </w:rPr>
          <w:t>.</w:t>
        </w:r>
        <w:proofErr w:type="spellStart"/>
        <w:r w:rsidRPr="006A1811">
          <w:rPr>
            <w:rFonts w:ascii="Times New Roman" w:eastAsia="Times New Roman" w:hAnsi="Times New Roman" w:cs="Times New Roman"/>
            <w:color w:val="467886"/>
            <w:sz w:val="28"/>
            <w:szCs w:val="28"/>
            <w:u w:val="single"/>
            <w:lang w:val="en-US"/>
            <w14:ligatures w14:val="standardContextual"/>
          </w:rPr>
          <w:t>ru</w:t>
        </w:r>
        <w:proofErr w:type="spellEnd"/>
      </w:hyperlink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В теме письма обязательно указать: Программа «Молодой закупщик».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3.3. Состав заявки изложен в Приложении к Требованиям.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lastRenderedPageBreak/>
        <w:t>3.4. Сроки проведения конкурсного отбора могут быть скорректированы.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3.5. Конкурсная комиссия в срок не позднее 29.07.2025 рассматривает поступившие заявки и информирует Участников по электронной почте об итогах прохождения конкурсного отбора.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3.6. Оценка заявок осуществляется конкурсной комиссией.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3.7. По результатам оценки заявок в соответствии с баллами формируется рейтинг Участников. 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3.8. Грантовую поддержку получают Участники, набравшие наибольшее количество баллов по результатам оценки заявки.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3.9. В случае равенства баллов заявок выбирается заявка, полученная ранее других.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4. Общие правила подачи и рассмотрения апелляций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4.1. По результатам конкурсного отбора, проводимого Институтом, Участник (или его доверенное лицо) имеет право подать в апелляционную комиссию апелляцию о нарушении, по мнению Участника, установленного порядка проведения конкурсного отбора и (или) о несогласии с полученной оценкой по итогам конкурсного отбора.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4.2. Апелляция подается одним из следующих способов:  </w:t>
      </w:r>
    </w:p>
    <w:p w:rsidR="006A1811" w:rsidRPr="006A1811" w:rsidRDefault="006A1811" w:rsidP="006A1811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– представляется в центр развития конкурентной политики и государственного заказа института «Высшая школа государственного управления» лично Участником (доверенным лицом); 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– направляется в электронной форме на адрес электронной почты: </w:t>
      </w:r>
      <w:proofErr w:type="spellStart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  <w14:ligatures w14:val="standardContextual"/>
        </w:rPr>
        <w:t>goszakaz</w:t>
      </w:r>
      <w:proofErr w:type="spellEnd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14:ligatures w14:val="standardContextual"/>
        </w:rPr>
        <w:t>@</w:t>
      </w:r>
      <w:proofErr w:type="spellStart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  <w14:ligatures w14:val="standardContextual"/>
        </w:rPr>
        <w:t>ranepa</w:t>
      </w:r>
      <w:proofErr w:type="spellEnd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14:ligatures w14:val="standardContextual"/>
        </w:rPr>
        <w:t>.</w:t>
      </w:r>
      <w:proofErr w:type="spellStart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  <w14:ligatures w14:val="standardContextual"/>
        </w:rPr>
        <w:t>ru</w:t>
      </w:r>
      <w:proofErr w:type="spellEnd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. 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4.3. В ходе рассмотрения апелляции проверяется соблюдение установленного порядка проведения конкурсного отбора и (или) правильность оценивания результатов конкурсной заявки. 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4.4. Апелляция подается в день объявления результатов конкурсного отбора или в течение следующего рабочего дня.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4.5. Рассмотрение апелляции проводится не позднее следующего рабочего дня после дня ее подачи. 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4.6. После рассмотрения апелляции апелляционная комиссия принимает решение об изменении оценки результатов конкурсного отбора или оставлении указанной оценки без изменения.    </w:t>
      </w:r>
    </w:p>
    <w:p w:rsidR="006A1811" w:rsidRPr="006A1811" w:rsidRDefault="006A1811" w:rsidP="006A18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14:ligatures w14:val="standardContextual"/>
        </w:rPr>
        <w:sectPr w:rsidR="006A1811" w:rsidRPr="006A1811" w:rsidSect="006A1811">
          <w:pgSz w:w="11905" w:h="16840"/>
          <w:pgMar w:top="567" w:right="851" w:bottom="1134" w:left="1701" w:header="720" w:footer="720" w:gutter="0"/>
          <w:cols w:space="720"/>
          <w:titlePg/>
          <w:docGrid w:linePitch="360"/>
        </w:sectPr>
      </w:pPr>
    </w:p>
    <w:p w:rsidR="006A1811" w:rsidRPr="006A1811" w:rsidRDefault="006A1811" w:rsidP="006A181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Cs/>
          <w:color w:val="000000"/>
          <w:sz w:val="26"/>
          <w:szCs w:val="26"/>
          <w14:ligatures w14:val="standardContextual"/>
        </w:rPr>
        <w:lastRenderedPageBreak/>
        <w:t xml:space="preserve">Приложение </w:t>
      </w:r>
    </w:p>
    <w:p w:rsidR="006A1811" w:rsidRPr="006A1811" w:rsidRDefault="006A1811" w:rsidP="006A1811">
      <w:pPr>
        <w:spacing w:after="0" w:line="240" w:lineRule="auto"/>
        <w:ind w:left="3545"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Cs/>
          <w:color w:val="000000"/>
          <w:sz w:val="26"/>
          <w:szCs w:val="26"/>
          <w14:ligatures w14:val="standardContextual"/>
        </w:rPr>
        <w:t xml:space="preserve">к Требованиям </w:t>
      </w:r>
      <w:r w:rsidRPr="006A1811">
        <w:rPr>
          <w:rFonts w:ascii="Times New Roman" w:eastAsia="Times New Roman" w:hAnsi="Times New Roman" w:cs="Times New Roman"/>
          <w:color w:val="000000"/>
          <w:sz w:val="26"/>
          <w:szCs w:val="26"/>
          <w14:ligatures w14:val="standardContextual"/>
        </w:rPr>
        <w:t>к поступающим и порядок отбора на дополнительную профессиональную программу повышения квалификации «Молодой закупщик» набора 2025 года</w:t>
      </w: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Порядок подготовки и процедура оценки конкурсной заявки</w:t>
      </w: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1. Требования к конкурсной заявке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1.1. В состав конкурсная заявки должны входить:  </w:t>
      </w:r>
    </w:p>
    <w:p w:rsidR="006A1811" w:rsidRPr="006A1811" w:rsidRDefault="006A1811" w:rsidP="006A1811">
      <w:pPr>
        <w:tabs>
          <w:tab w:val="left" w:pos="241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заявление об участии в конкурсе в свободной форме;</w:t>
      </w:r>
    </w:p>
    <w:p w:rsidR="006A1811" w:rsidRPr="006A1811" w:rsidRDefault="006A1811" w:rsidP="006A1811">
      <w:pPr>
        <w:tabs>
          <w:tab w:val="left" w:pos="241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– мотивационное письмо;  </w:t>
      </w:r>
    </w:p>
    <w:p w:rsidR="006A1811" w:rsidRPr="006A1811" w:rsidRDefault="006A1811" w:rsidP="006A1811">
      <w:pPr>
        <w:tabs>
          <w:tab w:val="left" w:pos="2410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согласие на обработку персональных данных;</w:t>
      </w:r>
    </w:p>
    <w:p w:rsid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паспорт (копии 1,2 стр. и страницы с регистрацией по месту жительства);</w:t>
      </w:r>
    </w:p>
    <w:p w:rsidR="009F7210" w:rsidRDefault="009F7210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д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иплом или справка о прохождении обучения (п.2.1.1 Требований);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СНИЛС.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 Структура мотивационного письма должна включать: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1.2.1. Фамилию, имя и отчество лица (полностью).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1.2.2. Описание профессионального опыта и общественной деятельности поступающего, релевантных профилю Программы.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1.2.3. Описание профессиональных интересов, связанных с профилем обучения.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1.2.4. Описание компетенций и навыков, которые поступающий планирует развивать в процессе обучения на Программе.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1.2.5. Причины и мотивы выбора Программы.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1.2.6. Описание идеи проекта по привлечению на торги участников закупок: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название проекта;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цель и задачи проекта;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описание проблемы, на решение которой направлен проект;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описание и обоснование предлагаемого проектного решения;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– описание ожидаемых результатов реализации проекта и способов их оценки.</w:t>
      </w:r>
    </w:p>
    <w:p w:rsidR="006A1811" w:rsidRPr="006A1811" w:rsidRDefault="006A1811" w:rsidP="006A1811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Объем мотивационного письма: 800-1400 слов.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Мотивационное письмо оформляется в любом текстовом редакторе.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Шрифт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  <w14:ligatures w14:val="standardContextual"/>
        </w:rPr>
        <w:t>: Times New Roman.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Размер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  <w14:ligatures w14:val="standardContextual"/>
        </w:rPr>
        <w:t xml:space="preserve"> 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шрифта</w:t>
      </w: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  <w14:ligatures w14:val="standardContextual"/>
        </w:rPr>
        <w:t xml:space="preserve">: 14.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Заголовки (подзаголовки) оформляются полужирным выделением. 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lastRenderedPageBreak/>
        <w:t xml:space="preserve">1.4. Претендент вправе приложить к мотивационному письму имеющиеся рекомендации и иные документы, подтверждающие обстоятельства, изложенные в письме (не более 3 (трех) </w:t>
      </w:r>
      <w:proofErr w:type="spellStart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шт</w:t>
      </w:r>
      <w:proofErr w:type="spellEnd"/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>).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</w:p>
    <w:p w:rsidR="006A1811" w:rsidRPr="006A1811" w:rsidRDefault="006A1811" w:rsidP="006A181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b/>
          <w:color w:val="000000"/>
          <w:sz w:val="28"/>
          <w:szCs w:val="28"/>
          <w14:ligatures w14:val="standardContextual"/>
        </w:rPr>
        <w:t>2. Шкала оценивания мотивационного письма</w:t>
      </w:r>
    </w:p>
    <w:p w:rsidR="006A1811" w:rsidRPr="006A1811" w:rsidRDefault="006A1811" w:rsidP="006A181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8"/>
          <w:szCs w:val="28"/>
          <w14:ligatures w14:val="standardContextual"/>
        </w:rPr>
        <w:t xml:space="preserve">Оценка конкурсных заявок осуществляется на основании следующих критериев оценки мотивационного письма:  </w:t>
      </w:r>
    </w:p>
    <w:tbl>
      <w:tblPr>
        <w:tblpPr w:leftFromText="180" w:rightFromText="180" w:vertAnchor="text" w:horzAnchor="margin" w:tblpY="22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6726"/>
        <w:gridCol w:w="2409"/>
      </w:tblGrid>
      <w:tr w:rsidR="006A1811" w:rsidRPr="006A1811" w:rsidTr="00435B6B">
        <w:trPr>
          <w:trHeight w:val="642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№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Критерий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Количество баллов</w:t>
            </w:r>
          </w:p>
        </w:tc>
      </w:tr>
      <w:tr w:rsidR="006A1811" w:rsidRPr="006A1811" w:rsidTr="00435B6B">
        <w:trPr>
          <w:trHeight w:val="389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Убедительность аргументации выбора Программы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441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Полнота и структурированность изложения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10</w:t>
            </w:r>
          </w:p>
        </w:tc>
      </w:tr>
      <w:tr w:rsidR="006A1811" w:rsidRPr="006A1811" w:rsidTr="00435B6B">
        <w:trPr>
          <w:trHeight w:val="519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Обоснованность, реалистичность и точность формулирования цели и задач проекта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301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4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Точность и полнота описания и выявления проблемы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700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5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Реалистичность предложенного проектного решения, его релевантность выявленной проблеме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401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6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 xml:space="preserve">Соответствие ожидаемых результатов и способов их оценки целям и задачам проекта 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917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14:ligatures w14:val="standardContextual"/>
              </w:rPr>
              <w:t>7</w:t>
            </w: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Аналитические способности и письменная речь (грамотное, связное изложение мыслей, демонстрация знания релевантных источников, умение анализировать, стиль изложения и оформление)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от 0 до 15</w:t>
            </w:r>
          </w:p>
        </w:tc>
      </w:tr>
      <w:tr w:rsidR="006A1811" w:rsidRPr="006A1811" w:rsidTr="00435B6B">
        <w:trPr>
          <w:trHeight w:val="323"/>
        </w:trPr>
        <w:tc>
          <w:tcPr>
            <w:tcW w:w="499" w:type="dxa"/>
          </w:tcPr>
          <w:p w:rsidR="006A1811" w:rsidRPr="006A1811" w:rsidRDefault="006A1811" w:rsidP="006A1811">
            <w:pPr>
              <w:spacing w:after="0" w:line="240" w:lineRule="auto"/>
              <w:ind w:firstLine="2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</w:p>
        </w:tc>
        <w:tc>
          <w:tcPr>
            <w:tcW w:w="6726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Максимальное количество баллов</w:t>
            </w:r>
          </w:p>
        </w:tc>
        <w:tc>
          <w:tcPr>
            <w:tcW w:w="2409" w:type="dxa"/>
          </w:tcPr>
          <w:p w:rsidR="006A1811" w:rsidRPr="006A1811" w:rsidRDefault="006A1811" w:rsidP="006A1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</w:pPr>
            <w:r w:rsidRPr="006A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standardContextual"/>
              </w:rPr>
              <w:t>100</w:t>
            </w:r>
          </w:p>
        </w:tc>
      </w:tr>
    </w:tbl>
    <w:p w:rsidR="006A1811" w:rsidRPr="006A1811" w:rsidRDefault="006A1811" w:rsidP="006A18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  <w14:ligatures w14:val="standardContextual"/>
        </w:rPr>
      </w:pP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  <w14:ligatures w14:val="standardContextual"/>
        </w:rPr>
        <w:t xml:space="preserve">  </w:t>
      </w: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  <w14:ligatures w14:val="standardContextual"/>
        </w:rPr>
        <w:tab/>
        <w:t xml:space="preserve">  </w:t>
      </w:r>
      <w:r w:rsidRPr="006A181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  <w14:ligatures w14:val="standardContextual"/>
        </w:rPr>
        <w:tab/>
        <w:t xml:space="preserve"> </w:t>
      </w:r>
    </w:p>
    <w:p w:rsidR="00506DB0" w:rsidRDefault="00506DB0"/>
    <w:sectPr w:rsidR="00506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FFC" w:rsidRDefault="00522FFC" w:rsidP="00AB59F4">
      <w:pPr>
        <w:spacing w:after="0" w:line="240" w:lineRule="auto"/>
      </w:pPr>
      <w:r>
        <w:separator/>
      </w:r>
    </w:p>
  </w:endnote>
  <w:endnote w:type="continuationSeparator" w:id="0">
    <w:p w:rsidR="00522FFC" w:rsidRDefault="00522FFC" w:rsidP="00AB5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FFC" w:rsidRDefault="00522FFC" w:rsidP="00AB59F4">
      <w:pPr>
        <w:spacing w:after="0" w:line="240" w:lineRule="auto"/>
      </w:pPr>
      <w:r>
        <w:separator/>
      </w:r>
    </w:p>
  </w:footnote>
  <w:footnote w:type="continuationSeparator" w:id="0">
    <w:p w:rsidR="00522FFC" w:rsidRDefault="00522FFC" w:rsidP="00AB5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5192B"/>
    <w:multiLevelType w:val="hybridMultilevel"/>
    <w:tmpl w:val="B41C05DE"/>
    <w:lvl w:ilvl="0" w:tplc="577A5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3B60A5"/>
    <w:multiLevelType w:val="multilevel"/>
    <w:tmpl w:val="C9ECE5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11"/>
    <w:rsid w:val="00506DB0"/>
    <w:rsid w:val="00522FFC"/>
    <w:rsid w:val="00534D76"/>
    <w:rsid w:val="006A1811"/>
    <w:rsid w:val="009F7210"/>
    <w:rsid w:val="00A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58F9"/>
  <w15:chartTrackingRefBased/>
  <w15:docId w15:val="{74F0E690-502B-40A3-A044-7E3F54F7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181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5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59F4"/>
  </w:style>
  <w:style w:type="paragraph" w:styleId="a7">
    <w:name w:val="footer"/>
    <w:basedOn w:val="a"/>
    <w:link w:val="a8"/>
    <w:uiPriority w:val="99"/>
    <w:unhideWhenUsed/>
    <w:rsid w:val="00AB5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5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zakaz.ranep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szakaz.ranep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oszakaz@ranep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RANEPA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Петрушин Сергей Александрович</dc:creator>
  <cp:keywords/>
  <dc:description/>
  <cp:lastModifiedBy>Петрушин Сергей Александрович</cp:lastModifiedBy>
  <cp:revision>4</cp:revision>
  <dcterms:created xsi:type="dcterms:W3CDTF">2025-07-16T08:45:00Z</dcterms:created>
  <dcterms:modified xsi:type="dcterms:W3CDTF">2025-07-16T13:42:00Z</dcterms:modified>
</cp:coreProperties>
</file>